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05C6D" w14:textId="77777777" w:rsidR="00306CE6" w:rsidRPr="00306CE6" w:rsidRDefault="00306CE6" w:rsidP="00F001F4">
      <w:pPr>
        <w:jc w:val="both"/>
        <w:rPr>
          <w:b/>
          <w:bCs/>
        </w:rPr>
      </w:pPr>
      <w:r w:rsidRPr="00306CE6">
        <w:rPr>
          <w:b/>
          <w:bCs/>
        </w:rPr>
        <w:t>Alla cortese attenzione del</w:t>
      </w:r>
    </w:p>
    <w:p w14:paraId="695698E3" w14:textId="77777777" w:rsidR="00306CE6" w:rsidRPr="00306CE6" w:rsidRDefault="00306CE6" w:rsidP="00F001F4">
      <w:pPr>
        <w:jc w:val="both"/>
      </w:pPr>
      <w:r w:rsidRPr="00306CE6">
        <w:rPr>
          <w:b/>
          <w:bCs/>
        </w:rPr>
        <w:t>Responsabile della Prevenzione della Corruzione e della Trasparenza (RPCT)</w:t>
      </w:r>
      <w:r w:rsidRPr="00306CE6">
        <w:t xml:space="preserve"> Agenzia Italiana del Farmaco (AIFA) PEC: protocollo@pec.aifa.gov.it</w:t>
      </w:r>
    </w:p>
    <w:p w14:paraId="3A342DC2" w14:textId="77777777" w:rsidR="00306CE6" w:rsidRPr="00306CE6" w:rsidRDefault="00306CE6" w:rsidP="00F001F4">
      <w:pPr>
        <w:jc w:val="both"/>
        <w:rPr>
          <w:b/>
          <w:bCs/>
        </w:rPr>
      </w:pPr>
      <w:r w:rsidRPr="00306CE6">
        <w:rPr>
          <w:b/>
          <w:bCs/>
        </w:rPr>
        <w:t>E p.c. all'Ufficio Affari Contenziosi</w:t>
      </w:r>
    </w:p>
    <w:p w14:paraId="7ECC3786" w14:textId="77777777" w:rsidR="00306CE6" w:rsidRPr="00306CE6" w:rsidRDefault="00306CE6" w:rsidP="00F001F4">
      <w:pPr>
        <w:jc w:val="both"/>
      </w:pPr>
      <w:r w:rsidRPr="00306CE6">
        <w:t>Agenzia Italiana del Farmaco (AIFA) PEC: contenzioso@pec.aifa.gov.it</w:t>
      </w:r>
    </w:p>
    <w:p w14:paraId="7B7B1DE4" w14:textId="77777777" w:rsidR="00306CE6" w:rsidRPr="00306CE6" w:rsidRDefault="00306CE6" w:rsidP="00F001F4">
      <w:pPr>
        <w:jc w:val="both"/>
      </w:pPr>
      <w:r w:rsidRPr="00306CE6">
        <w:rPr>
          <w:b/>
          <w:bCs/>
        </w:rPr>
        <w:t xml:space="preserve">Oggetto: Istanza di riesame ai sensi dell'art. 5, comma 7, </w:t>
      </w:r>
      <w:proofErr w:type="spellStart"/>
      <w:r w:rsidRPr="00306CE6">
        <w:rPr>
          <w:b/>
          <w:bCs/>
        </w:rPr>
        <w:t>D.Lgs.</w:t>
      </w:r>
      <w:proofErr w:type="spellEnd"/>
      <w:r w:rsidRPr="00306CE6">
        <w:rPr>
          <w:b/>
          <w:bCs/>
        </w:rPr>
        <w:t xml:space="preserve"> n. 33/2013 – Contestazione nota di riscontro (</w:t>
      </w:r>
      <w:r w:rsidRPr="00306CE6">
        <w:rPr>
          <w:b/>
          <w:bCs/>
          <w:color w:val="FF0000"/>
        </w:rPr>
        <w:t>Prot. n. AIFA 0079137 del 17/06/2026</w:t>
      </w:r>
      <w:r w:rsidRPr="00306CE6">
        <w:rPr>
          <w:b/>
          <w:bCs/>
        </w:rPr>
        <w:t>)</w:t>
      </w:r>
    </w:p>
    <w:p w14:paraId="3D36AABD" w14:textId="1B99BE9E" w:rsidR="00306CE6" w:rsidRPr="00306CE6" w:rsidRDefault="00306CE6" w:rsidP="00F001F4">
      <w:pPr>
        <w:jc w:val="both"/>
      </w:pPr>
      <w:r w:rsidRPr="00306CE6">
        <w:t xml:space="preserve">Il sottoscritto </w:t>
      </w:r>
      <w:r w:rsidRPr="00306CE6">
        <w:rPr>
          <w:color w:val="FF0000"/>
        </w:rPr>
        <w:t>Nome Rappresentante</w:t>
      </w:r>
      <w:r w:rsidRPr="00306CE6">
        <w:t xml:space="preserve">, in qualità di legale rappresentante </w:t>
      </w:r>
      <w:r w:rsidRPr="00306CE6">
        <w:rPr>
          <w:color w:val="FF0000"/>
        </w:rPr>
        <w:t xml:space="preserve">del </w:t>
      </w:r>
      <w:r w:rsidR="00F001F4">
        <w:rPr>
          <w:color w:val="FF0000"/>
        </w:rPr>
        <w:t>Comitato</w:t>
      </w:r>
      <w:r w:rsidRPr="00306CE6">
        <w:t xml:space="preserve">, con riferimento alla nota di riscontro inviata dall'Ufficio Affari Contenziosi in </w:t>
      </w:r>
      <w:r w:rsidRPr="00306CE6">
        <w:rPr>
          <w:color w:val="FF0000"/>
        </w:rPr>
        <w:t>data 17 giugno 2026 (UAC/AM-MG/CC</w:t>
      </w:r>
      <w:r w:rsidRPr="00306CE6">
        <w:t xml:space="preserve">), si rivolge a codesto Responsabile, quale organo interno di garanzia della trasparenza e della legalità dell'azione amministrativa, per presentare formale istanza di riesame ai sensi dell'art. 5, comma 7, del </w:t>
      </w:r>
      <w:proofErr w:type="spellStart"/>
      <w:r w:rsidRPr="00306CE6">
        <w:t>D.Lgs.</w:t>
      </w:r>
      <w:proofErr w:type="spellEnd"/>
      <w:r w:rsidRPr="00306CE6">
        <w:t xml:space="preserve"> n. 33/2013.</w:t>
      </w:r>
    </w:p>
    <w:p w14:paraId="7540F8B0" w14:textId="77777777" w:rsidR="00306CE6" w:rsidRPr="00306CE6" w:rsidRDefault="00306CE6" w:rsidP="00F001F4">
      <w:pPr>
        <w:jc w:val="both"/>
      </w:pPr>
      <w:r w:rsidRPr="00306CE6">
        <w:t>La risposta fornita da codesta Agenzia risulta ampiamente contestabile in quanto non risponde al nucleo essenziale dell'istanza originaria, eludendo l'ostensione dei documenti richiesti e incorrendo in evidenti vizi di motivazione, come di seguito dettagliato:</w:t>
      </w:r>
    </w:p>
    <w:p w14:paraId="58916495" w14:textId="77777777" w:rsidR="00306CE6" w:rsidRPr="00306CE6" w:rsidRDefault="00306CE6" w:rsidP="00F001F4">
      <w:pPr>
        <w:jc w:val="both"/>
        <w:rPr>
          <w:b/>
          <w:bCs/>
        </w:rPr>
      </w:pPr>
      <w:r w:rsidRPr="00306CE6">
        <w:rPr>
          <w:b/>
          <w:bCs/>
        </w:rPr>
        <w:t>Premessa metodologica</w:t>
      </w:r>
    </w:p>
    <w:p w14:paraId="5CCC90A7" w14:textId="77777777" w:rsidR="00306CE6" w:rsidRPr="00306CE6" w:rsidRDefault="00306CE6" w:rsidP="00F001F4">
      <w:pPr>
        <w:jc w:val="both"/>
      </w:pPr>
      <w:r w:rsidRPr="00306CE6">
        <w:t>L'istanza presentata dallo scrivente Comitato intende fare chiarezza sull'iter istruttorio previsto dall'art. 1-ter del D.L. n. 73/2017 (convertito in L. n. 119/2017), il quale vincola l'azione amministrativa a una verifica con cadenza rigidamente triennale in merito alla permanenza dei presupposti sanitari ed epidemiologici dell'obbligo vaccinale.</w:t>
      </w:r>
    </w:p>
    <w:p w14:paraId="2ED63F6B" w14:textId="77777777" w:rsidR="00306CE6" w:rsidRPr="00306CE6" w:rsidRDefault="00306CE6" w:rsidP="00F001F4">
      <w:pPr>
        <w:jc w:val="both"/>
        <w:rPr>
          <w:b/>
          <w:bCs/>
        </w:rPr>
      </w:pPr>
      <w:r w:rsidRPr="00306CE6">
        <w:rPr>
          <w:b/>
          <w:bCs/>
        </w:rPr>
        <w:t>Considerazioni in diritto e motivi di riesame:</w:t>
      </w:r>
    </w:p>
    <w:p w14:paraId="6C4BC329" w14:textId="77777777" w:rsidR="00306CE6" w:rsidRPr="00306CE6" w:rsidRDefault="00306CE6" w:rsidP="00F001F4">
      <w:pPr>
        <w:jc w:val="both"/>
      </w:pPr>
      <w:r w:rsidRPr="00306CE6">
        <w:rPr>
          <w:b/>
          <w:bCs/>
        </w:rPr>
        <w:t xml:space="preserve">1. Erroneo inquadramento normativo, mancata corrispondenza dei dati (Trienni 2020 e 2023) e omessa dichiarazione sull'esistenza degli </w:t>
      </w:r>
      <w:proofErr w:type="gramStart"/>
      <w:r w:rsidRPr="00306CE6">
        <w:rPr>
          <w:b/>
          <w:bCs/>
        </w:rPr>
        <w:t>atti</w:t>
      </w:r>
      <w:proofErr w:type="gramEnd"/>
      <w:r w:rsidRPr="00306CE6">
        <w:t xml:space="preserve"> Il riscontro dell'Ufficio Affari Contenziosi ha prodotto quattro allegati riferiti esclusivamente al periodo storico 2017, 2018 e 2019, specificando che tali relazioni sono state redatte in attuazione del diverso art. 1, comma 3-bis (relazione annuale alle Camere). Si evidenzia che lo scrivente Comitato aveva richiesto gli atti delle specifiche verifiche triennali del 2020 e del 2023. I documenti trasmessi da AIFA sono pertanto radicalmente diversi da quelli invocati, in quanto adottati in base a un'altra previsione normativa. Si contesta, inoltre, la totale mancanza di una dichiarazione espressa da parte di AIFA sull'esistenza o meno delle verifiche triennali richieste: se tali verifiche </w:t>
      </w:r>
      <w:proofErr w:type="gramStart"/>
      <w:r w:rsidRPr="00306CE6">
        <w:t>non sono state svolte</w:t>
      </w:r>
      <w:proofErr w:type="gramEnd"/>
      <w:r w:rsidRPr="00306CE6">
        <w:t xml:space="preserve">, l'Agenzia avrebbe dovuto affermarlo chiaramente; se </w:t>
      </w:r>
      <w:proofErr w:type="gramStart"/>
      <w:r w:rsidRPr="00306CE6">
        <w:t>invece sono state svolte</w:t>
      </w:r>
      <w:proofErr w:type="gramEnd"/>
      <w:r w:rsidRPr="00306CE6">
        <w:t>, avrebbe dovuto trasmetterne gli atti o motivarne puntualmente il diniego, cosa che non è avvenuta.</w:t>
      </w:r>
    </w:p>
    <w:p w14:paraId="318AED30" w14:textId="77777777" w:rsidR="00306CE6" w:rsidRPr="00306CE6" w:rsidRDefault="00306CE6" w:rsidP="00F001F4">
      <w:pPr>
        <w:jc w:val="both"/>
      </w:pPr>
      <w:r w:rsidRPr="00306CE6">
        <w:rPr>
          <w:b/>
          <w:bCs/>
        </w:rPr>
        <w:t>2. Insufficienza del riscontro in materia di farmacovigilanza (Punto 2)</w:t>
      </w:r>
      <w:r w:rsidRPr="00306CE6">
        <w:t xml:space="preserve"> In merito alle valutazioni della Commissione LEA richiamate al punto 2, il riscontro rimanda genericamente al link istituzionale dei "Rapporti Vaccini" pubblici e già disponibili sul sito. Tale risposta è del tutto insufficiente: l'istanza non mirava a ottenere dati pubblici e generici, bensì i dati concretamente acquisiti e valutati dalla Commissione LEA. Il riscontro di AIFA non chiarisce affatto se esistano dossier, verbali, note tecniche o atti istruttori interni posti a fondamento di tali valutazioni, la cui ostensione viene qui nuovamente reiterata.</w:t>
      </w:r>
    </w:p>
    <w:p w14:paraId="39BA167E" w14:textId="77777777" w:rsidR="00306CE6" w:rsidRPr="00306CE6" w:rsidRDefault="00306CE6" w:rsidP="00F001F4">
      <w:pPr>
        <w:jc w:val="both"/>
      </w:pPr>
      <w:r w:rsidRPr="00306CE6">
        <w:rPr>
          <w:b/>
          <w:bCs/>
        </w:rPr>
        <w:t>3. Illegittima declaratoria di inammissibilità e violazione del dovere di specificazione (Punto 3 - Anagrafe e coperture)</w:t>
      </w:r>
      <w:r w:rsidRPr="00306CE6">
        <w:t xml:space="preserve"> In merito al Punto 3, l'Ufficio ha eccepito l'asserita indeterminatezza dell'istanza in merito a "Coperture e Anagrafe", considerandola meramente esplorativa. La tesi </w:t>
      </w:r>
      <w:r w:rsidRPr="00306CE6">
        <w:lastRenderedPageBreak/>
        <w:t xml:space="preserve">dell'amministrazione è palesemente debole e infondata: la richiesta del Comitato individuava chiaramente l'Anagrafe vaccinale, i dati storici e la soglia di sicurezza del 95%, elementi che escludono qualsiasi indeterminatezza totale. In ogni caso, in aderenza alle Linee Guida ANAC (Delibera n. 1309/2016), </w:t>
      </w:r>
      <w:r w:rsidRPr="00306CE6">
        <w:rPr>
          <w:b/>
          <w:bCs/>
        </w:rPr>
        <w:t>AIFA, prima di dichiarare l'inammissibilità dell'istanza, avrebbe dovuto utilmente instaurare un'interlocuzione con il richiedente al fine di consentire la precisazione dell'oggetto della richiesta, adempimento a cui ha illegittimamente rinunciato.</w:t>
      </w:r>
    </w:p>
    <w:p w14:paraId="32FDA143" w14:textId="77777777" w:rsidR="00306CE6" w:rsidRPr="00306CE6" w:rsidRDefault="00306CE6" w:rsidP="00F001F4">
      <w:pPr>
        <w:jc w:val="both"/>
      </w:pPr>
      <w:r w:rsidRPr="00306CE6">
        <w:rPr>
          <w:b/>
          <w:bCs/>
        </w:rPr>
        <w:t>4. Omessa indicazione dell'amministrazione competente e mancata trasmissione dell'istanza (Punto 4 - Verifica 2026)</w:t>
      </w:r>
      <w:r w:rsidRPr="00306CE6">
        <w:t xml:space="preserve"> Quanto alla imminente verifica di luglio 2026, l'Agenzia si è limitata a dichiararsi incompetente. Tuttavia, in aperta violazione dei principi di collaborazione e trasparenza, AIFA non ha indicato quale diversa amministrazione detenga le informazioni richieste, né risulta che abbia provveduto a trasmettere l'istanza per competenza all'ufficio effettivamente detentore. In questo modo, l'istanza volta a conoscere gli atti che giustificano il mantenimento dell'obbligo è rimasta illegittimamente senza risposta.</w:t>
      </w:r>
    </w:p>
    <w:p w14:paraId="472057BD" w14:textId="77777777" w:rsidR="00306CE6" w:rsidRPr="00306CE6" w:rsidRDefault="00306CE6" w:rsidP="00F001F4">
      <w:pPr>
        <w:jc w:val="both"/>
        <w:rPr>
          <w:b/>
          <w:bCs/>
        </w:rPr>
      </w:pPr>
      <w:r w:rsidRPr="00306CE6">
        <w:rPr>
          <w:b/>
          <w:bCs/>
        </w:rPr>
        <w:t>TUTTO CIÒ CONSIDERATO</w:t>
      </w:r>
    </w:p>
    <w:p w14:paraId="3ED2C3AE" w14:textId="77777777" w:rsidR="00306CE6" w:rsidRPr="00306CE6" w:rsidRDefault="00306CE6" w:rsidP="00F001F4">
      <w:pPr>
        <w:jc w:val="both"/>
      </w:pPr>
      <w:r w:rsidRPr="00306CE6">
        <w:t xml:space="preserve">Il sottoscritto </w:t>
      </w:r>
      <w:r w:rsidRPr="00306CE6">
        <w:rPr>
          <w:b/>
          <w:bCs/>
        </w:rPr>
        <w:t>CHIEDE</w:t>
      </w:r>
      <w:r w:rsidRPr="00306CE6">
        <w:t xml:space="preserve"> al Responsabile della Prevenzione della Corruzione e della Trasparenza di AIFA, nell'esercizio delle proprie attribuzioni ex art. 5, comma 7, </w:t>
      </w:r>
      <w:proofErr w:type="spellStart"/>
      <w:r w:rsidRPr="00306CE6">
        <w:t>D.Lgs.</w:t>
      </w:r>
      <w:proofErr w:type="spellEnd"/>
      <w:r w:rsidRPr="00306CE6">
        <w:t xml:space="preserve"> n. 33/2013, di voler promuovere la totale rivalutazione della determinazione prot. 0079137 del 17/06/2026 e di disporre l'ostensione di:</w:t>
      </w:r>
    </w:p>
    <w:p w14:paraId="36A9B1C5" w14:textId="77777777" w:rsidR="00306CE6" w:rsidRPr="00306CE6" w:rsidRDefault="00306CE6" w:rsidP="00F001F4">
      <w:pPr>
        <w:numPr>
          <w:ilvl w:val="0"/>
          <w:numId w:val="1"/>
        </w:numPr>
        <w:jc w:val="both"/>
      </w:pPr>
      <w:r w:rsidRPr="00306CE6">
        <w:t>Gli atti, le note e le relazioni relative alle verifiche triennali ex art. 1-ter per le scadenze 2020 e 2023 (o, in subordine, formale e chiara dichiarazione circa la loro inesistenza);</w:t>
      </w:r>
    </w:p>
    <w:p w14:paraId="271597F4" w14:textId="77777777" w:rsidR="00306CE6" w:rsidRPr="00306CE6" w:rsidRDefault="00306CE6" w:rsidP="00F001F4">
      <w:pPr>
        <w:numPr>
          <w:ilvl w:val="0"/>
          <w:numId w:val="1"/>
        </w:numPr>
        <w:jc w:val="both"/>
      </w:pPr>
      <w:r w:rsidRPr="00306CE6">
        <w:t>I dossier, i verbali, le note tecniche e gli atti istruttori interni concretamente acquisiti e valutati dalla Commissione LEA;</w:t>
      </w:r>
    </w:p>
    <w:p w14:paraId="027326C3" w14:textId="77777777" w:rsidR="00306CE6" w:rsidRPr="00306CE6" w:rsidRDefault="00306CE6" w:rsidP="00F001F4">
      <w:pPr>
        <w:numPr>
          <w:ilvl w:val="0"/>
          <w:numId w:val="1"/>
        </w:numPr>
        <w:jc w:val="both"/>
      </w:pPr>
      <w:r w:rsidRPr="00306CE6">
        <w:t xml:space="preserve">I report aggregati derivanti dall'Anagrafe Vaccinale Nazionale relativi alle coperture e alla soglia del 95% </w:t>
      </w:r>
      <w:r w:rsidRPr="00306CE6">
        <w:rPr>
          <w:b/>
          <w:bCs/>
        </w:rPr>
        <w:t>già formati e detenuti dall'Agenzia</w:t>
      </w:r>
      <w:r w:rsidRPr="00306CE6">
        <w:t>;</w:t>
      </w:r>
    </w:p>
    <w:p w14:paraId="16A2C662" w14:textId="44B07A04" w:rsidR="00306CE6" w:rsidRDefault="00306CE6" w:rsidP="00F001F4">
      <w:pPr>
        <w:numPr>
          <w:ilvl w:val="0"/>
          <w:numId w:val="1"/>
        </w:numPr>
        <w:jc w:val="both"/>
      </w:pPr>
      <w:r w:rsidRPr="00306CE6">
        <w:t>L'indicazione dell'organo competente o l'inoltro automatico dell'istanza per i dati relativi alla verifica 2026.</w:t>
      </w:r>
    </w:p>
    <w:p w14:paraId="2F5AC124" w14:textId="2BAAD401" w:rsidR="00306CE6" w:rsidRPr="00306CE6" w:rsidRDefault="00306CE6" w:rsidP="00F001F4">
      <w:pPr>
        <w:jc w:val="both"/>
      </w:pPr>
      <w:r w:rsidRPr="00306CE6">
        <w:t>Si specifica, infine, che lo scrivente Comitato si riserva sin d'ora la facoltà di inviare, nei prossimi mesi, una seconda e distinta richiesta di accesso civico che includerà un'analisi tecnico-scientifica approfondita mirata a contestare e chiarire il contenuto dei documenti e degli allegati storici già trasmessi da codesta Agenzia</w:t>
      </w:r>
      <w:r>
        <w:t>.</w:t>
      </w:r>
    </w:p>
    <w:p w14:paraId="7DA15246" w14:textId="77777777" w:rsidR="00306CE6" w:rsidRPr="00306CE6" w:rsidRDefault="00306CE6" w:rsidP="00F001F4">
      <w:pPr>
        <w:jc w:val="both"/>
      </w:pPr>
      <w:r w:rsidRPr="00306CE6">
        <w:t>Si ringrazia anticipatamente per la disponibilità e la collaborazione istituzionale.</w:t>
      </w:r>
    </w:p>
    <w:p w14:paraId="30DE52DF" w14:textId="77777777" w:rsidR="00306CE6" w:rsidRPr="00306CE6" w:rsidRDefault="00306CE6" w:rsidP="00F001F4">
      <w:pPr>
        <w:jc w:val="both"/>
      </w:pPr>
      <w:r w:rsidRPr="00306CE6">
        <w:t>Distinti saluti.</w:t>
      </w:r>
    </w:p>
    <w:p w14:paraId="5C1E1033" w14:textId="77777777" w:rsidR="00306CE6" w:rsidRPr="00306CE6" w:rsidRDefault="00306CE6" w:rsidP="00F001F4">
      <w:pPr>
        <w:jc w:val="both"/>
        <w:rPr>
          <w:color w:val="FF0000"/>
        </w:rPr>
      </w:pPr>
      <w:r w:rsidRPr="00306CE6">
        <w:rPr>
          <w:color w:val="FF0000"/>
        </w:rPr>
        <w:t>Luogo, Data</w:t>
      </w:r>
    </w:p>
    <w:p w14:paraId="71FE9A11" w14:textId="77777777" w:rsidR="00306CE6" w:rsidRPr="00306CE6" w:rsidRDefault="00306CE6" w:rsidP="00F001F4">
      <w:pPr>
        <w:jc w:val="both"/>
        <w:rPr>
          <w:color w:val="FF0000"/>
        </w:rPr>
      </w:pPr>
      <w:r w:rsidRPr="00306CE6">
        <w:rPr>
          <w:color w:val="FF0000"/>
        </w:rPr>
        <w:t>Il Legale Rappresentante</w:t>
      </w:r>
    </w:p>
    <w:p w14:paraId="4F697982" w14:textId="77777777" w:rsidR="00306CE6" w:rsidRPr="00306CE6" w:rsidRDefault="00306CE6" w:rsidP="00F001F4">
      <w:pPr>
        <w:jc w:val="both"/>
      </w:pPr>
      <w:r w:rsidRPr="00306CE6">
        <w:rPr>
          <w:i/>
          <w:iCs/>
        </w:rPr>
        <w:t>(Firma)</w:t>
      </w:r>
    </w:p>
    <w:p w14:paraId="0797945A" w14:textId="77777777" w:rsidR="00204127" w:rsidRDefault="00204127" w:rsidP="00F001F4">
      <w:pPr>
        <w:jc w:val="both"/>
      </w:pPr>
    </w:p>
    <w:sectPr w:rsidR="002041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E4613"/>
    <w:multiLevelType w:val="multilevel"/>
    <w:tmpl w:val="17767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817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CE6"/>
    <w:rsid w:val="0012222E"/>
    <w:rsid w:val="00204127"/>
    <w:rsid w:val="0024712A"/>
    <w:rsid w:val="00306CE6"/>
    <w:rsid w:val="0043047C"/>
    <w:rsid w:val="00576509"/>
    <w:rsid w:val="008E3EF2"/>
    <w:rsid w:val="008F47E8"/>
    <w:rsid w:val="00B93C77"/>
    <w:rsid w:val="00EF4DD0"/>
    <w:rsid w:val="00F001F4"/>
    <w:rsid w:val="00F366FE"/>
    <w:rsid w:val="00F5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CC821"/>
  <w15:chartTrackingRefBased/>
  <w15:docId w15:val="{333699E2-18F0-4516-9F63-E391BD173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06C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06C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06C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06C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06C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06C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06C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06C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06C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06C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06C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06C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06CE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06CE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06C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06C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06C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06C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06C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06C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06C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06C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06C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06C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06C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06CE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06C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06CE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06C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Air Dolomiti Spa</Company>
  <LinksUpToDate>false</LinksUpToDate>
  <CharactersWithSpaces>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Toneva, Rossitza</dc:creator>
  <cp:keywords/>
  <dc:description/>
  <cp:lastModifiedBy>Toneva, Rossitza</cp:lastModifiedBy>
  <cp:revision>2</cp:revision>
  <dcterms:created xsi:type="dcterms:W3CDTF">2026-07-19T22:08:00Z</dcterms:created>
  <dcterms:modified xsi:type="dcterms:W3CDTF">2026-07-19T22:08:00Z</dcterms:modified>
</cp:coreProperties>
</file>